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804B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804B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804B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804B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детерминанты мотивации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5984E6" w:rsidR="00A77598" w:rsidRPr="003949A2" w:rsidRDefault="00A77598" w:rsidP="003949A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949A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04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4B9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2804B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804B9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2804B9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BE0AFB" w:rsidR="004475DA" w:rsidRPr="003949A2" w:rsidRDefault="003949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B221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94DC90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844CB6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254909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9615E0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5FB0D16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3FA3BD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A68BC7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79BCC51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E28DF4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BCD5B9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10D07C" w:rsidR="00D75436" w:rsidRDefault="00077D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81FABB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470E51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CD76732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497658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A807CA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9B1380" w:rsidR="00D75436" w:rsidRDefault="00077D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04B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CD46ED3" w:rsidR="00751095" w:rsidRPr="00352B6F" w:rsidRDefault="00990F27" w:rsidP="00280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Подготовить магистрантов к эффективному взаимодействию с менеджментом организации на основе приобретения компетенций, способствующих успешному управлению трудовыми коллективами; способствовать формированию у магистрантов системного мышления по разработке стимулирующих программ; способствовать магистранту в выборе наиболее адекватных моделей и концепций управления мотивацией труда; способствовать правильной диагностике и предупреждению урегулированию состояний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демотивации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персонала.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804B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детерминанты мотивации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804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04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04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04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04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04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04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04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4B9">
              <w:rPr>
                <w:rFonts w:ascii="Times New Roman" w:hAnsi="Times New Roman" w:cs="Times New Roman"/>
              </w:rPr>
              <w:t>принципы, базовые условия и методы взаимодействия с людьми с учетом их социокультурных особенностей</w:t>
            </w:r>
            <w:r w:rsidRPr="002804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4B9">
              <w:rPr>
                <w:rFonts w:ascii="Times New Roman" w:hAnsi="Times New Roman" w:cs="Times New Roman"/>
              </w:rPr>
              <w:t>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  <w:r w:rsidRPr="002804B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04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4B9">
              <w:rPr>
                <w:rFonts w:ascii="Times New Roman" w:hAnsi="Times New Roman" w:cs="Times New Roman"/>
              </w:rPr>
              <w:t>методами взаимодействия с людьми с учетом их социокультурных особенностей в целях успешного выполнения профессиональных задач</w:t>
            </w:r>
            <w:r w:rsidRPr="002804B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04B9" w14:paraId="28BB4E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3903" w14:textId="77777777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FEC8" w14:textId="77777777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ПК-2.2 - Разрабатывает систему оплаты и материального стимулирования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81E90" w14:textId="77777777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4B9">
              <w:rPr>
                <w:rFonts w:ascii="Times New Roman" w:hAnsi="Times New Roman" w:cs="Times New Roman"/>
              </w:rPr>
              <w:t>принципы, базовые условия и методы кадрового обеспечения принятия и реализации управленческих решений</w:t>
            </w:r>
            <w:r w:rsidRPr="002804B9">
              <w:rPr>
                <w:rFonts w:ascii="Times New Roman" w:hAnsi="Times New Roman" w:cs="Times New Roman"/>
              </w:rPr>
              <w:t xml:space="preserve"> </w:t>
            </w:r>
          </w:p>
          <w:p w14:paraId="1E796756" w14:textId="77777777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4B9">
              <w:rPr>
                <w:rFonts w:ascii="Times New Roman" w:hAnsi="Times New Roman" w:cs="Times New Roman"/>
              </w:rPr>
              <w:t>проводить аналитические исследования в области оплаты труда персонала с учетом внешних и внутренних факторов функционирования организации</w:t>
            </w:r>
            <w:r w:rsidRPr="002804B9">
              <w:rPr>
                <w:rFonts w:ascii="Times New Roman" w:hAnsi="Times New Roman" w:cs="Times New Roman"/>
              </w:rPr>
              <w:t xml:space="preserve">. </w:t>
            </w:r>
          </w:p>
          <w:p w14:paraId="327E0CBC" w14:textId="77777777" w:rsidR="00751095" w:rsidRPr="002804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4B9">
              <w:rPr>
                <w:rFonts w:ascii="Times New Roman" w:hAnsi="Times New Roman" w:cs="Times New Roman"/>
              </w:rPr>
              <w:t>навыками проведения анализа заработной платы по отраслям, регионам, сравнительного анализа, подготовки рекомендаций и аналитических отчетов</w:t>
            </w:r>
            <w:r w:rsidRPr="002804B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04B9" w14:paraId="4ECE65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8C45" w14:textId="77777777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51200" w14:textId="77777777" w:rsidR="00751095" w:rsidRPr="002804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ПК-3.2 - Разрабатывает политику мотивации и стимулирования персонала с учётом факторов внешней и внутренней среды организации, её стратегических целей и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6929" w14:textId="77777777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4B9">
              <w:rPr>
                <w:rFonts w:ascii="Times New Roman" w:hAnsi="Times New Roman" w:cs="Times New Roman"/>
              </w:rPr>
              <w:t>принципы, базовые условия и методы формирования политики мотивации и стимулирования персонала организации</w:t>
            </w:r>
            <w:r w:rsidRPr="002804B9">
              <w:rPr>
                <w:rFonts w:ascii="Times New Roman" w:hAnsi="Times New Roman" w:cs="Times New Roman"/>
              </w:rPr>
              <w:t xml:space="preserve"> </w:t>
            </w:r>
          </w:p>
          <w:p w14:paraId="1B0F1799" w14:textId="2FC640DD" w:rsidR="00751095" w:rsidRPr="002804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4B9">
              <w:rPr>
                <w:rFonts w:ascii="Times New Roman" w:hAnsi="Times New Roman" w:cs="Times New Roman"/>
              </w:rPr>
              <w:t>разрабатывать политику мотивации и стимулирования персонала с учетом факторов внешней и внутренней среды организации, ее стратегических целей и задач.</w:t>
            </w:r>
          </w:p>
          <w:p w14:paraId="2D0909EC" w14:textId="77777777" w:rsidR="00751095" w:rsidRPr="002804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4B9">
              <w:rPr>
                <w:rFonts w:ascii="Times New Roman" w:hAnsi="Times New Roman" w:cs="Times New Roman"/>
              </w:rPr>
              <w:t>навыками анализа системы организации труда и мотивации персонала, а также навыками разработки обоснованных предложений по её усовершенствованию в стратегической перспективе</w:t>
            </w:r>
            <w:r w:rsidRPr="002804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04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804B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804B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804B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804B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(ак</w:t>
            </w:r>
            <w:r w:rsidR="00AE2B1A" w:rsidRPr="002804B9">
              <w:rPr>
                <w:rFonts w:ascii="Times New Roman" w:hAnsi="Times New Roman" w:cs="Times New Roman"/>
                <w:b/>
              </w:rPr>
              <w:t>адемические</w:t>
            </w:r>
            <w:r w:rsidRPr="002804B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804B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804B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804B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804B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804B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804B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804B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804B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804B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804B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804B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1. Социально-экономические предпосылки изучения управления трудом на основе мотивации в транзитивной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Переход от государственного патернализма к отношениям наёмного труда. Проблема отчуждения труда. Методология человеческого капитала. Многообразие форм собственности и способов управления человеческими ресурсами организаций. Международный бизнес в России и расширение, и усложнение внешнеэкономических связей. Модернизация процесса управления персоналом в ходе экономических трансформаций. Положительный опыт традиционного подхода и инноваций в управлении человеческими ресурсами на основе мотивации.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B702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D0D6C" w14:textId="77777777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2. Место стимулирования в системе экономической и социальной  эффективности   управления человеческими ресурсами 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8D568" w14:textId="77777777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Зависимость эффективности управления персоналом от степени реализации общих целей организации. Стратегия «персонал-ресурс» и стратегия «персонал-затраты». Мотивы и стимулы в зависимости от стратегии управления человеческими ресурсами. Зависимость эффективности  использования  работника  от его способности и желания выполнять возложенные на него функции и обязанности. Два компонента эффективности: экономическая эффективность, характеризующаяся достижение целей организации путем использования персонала на основании принципа экономичного расходования имеющихся ресурсов, и социальная эффективность, характеризующая степень реализации потребностей и интересов наемных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FC335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0AC96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9B249" w14:textId="77777777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97268" w14:textId="77777777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2F73B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613F4" w14:textId="77777777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3. Управление на основе стимулирования и мотивации.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83C21" w14:textId="77777777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Потребности и ценности как источники экономической активности. Ценностные ориентации и теория диспозиции личности Ядова. Теории потребностей А. Маслоу, В. Врума, С. Адамса, модель Портера-Лоулера. Исследование ценностных ориентаций и потребностей работников организации на основе теорий мотивации. Характеристик сотрудников, влияющие на потребности. Связь проявления потребностей со средствами их удовлетворения. Методы удовлетворения социальных потребностей. Роль и практическое значение методов стимулирования персонала. Мотивационные модели современных предприятий. Официальное стимулирование – единые для всех сотрудников правила стимулирования, зафиксированные в документах. Индивидуальное стимулирование – воздействие руководителей на подчиненных, учитывающее их индивидуальные возможности и способности. Задачи системы стимулирования. Методы определения применяемых стимулов. Показатели оценки системы стимулирования. Условия применения стимулов. Определение соответствия условий применения стимулов задачам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77236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5729C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AA136" w14:textId="77777777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78CF4" w14:textId="77777777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F742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9C0FB" w14:textId="77777777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4. Виды стимулов. Показатели KPI.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D2258" w14:textId="77777777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Мотивация и оплата труда. Основные составляющие оплаты труда. Базовая составляющая в оплате: сравнение и взаимосвязь систем оплаты труда. Стимулирующая (премиальная, переменная) часть в оплате труда. Виды премий. Компенсационные программы: программы повышения квалификации и обучения, программы поддержки лояльности, программы сохранения здоровья.</w:t>
            </w:r>
            <w:r w:rsidRPr="002804B9">
              <w:rPr>
                <w:sz w:val="22"/>
                <w:szCs w:val="22"/>
                <w:lang w:bidi="ru-RU"/>
              </w:rPr>
              <w:br/>
              <w:t>Стимулирование организацией работ: объединение задач, формирование естественных рабочих единиц, налаживание тесных взаимосвязей с клиентами, расширение рабочих заданий по вертикали. Модель характеристик рабочих заданий (JCM). Расчет  коэффициента мотивирующего потенциала рабочего задания. Стимулирование рабочим временем: сжатая рабочая неделя, система гибкого рабочего времени (гибкий график), дистанционная работа.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B568C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404C3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786C1" w14:textId="77777777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972C1" w14:textId="77777777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48834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11D35" w14:textId="77777777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5. Социотехника  мотивации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A1C1F" w14:textId="77777777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Социотехника – технология управления и манипулирования стимулами способная вызвать поведение и деятельность соответствующую целям и задачам организации. Социотехнические системы. Социологические исследования в исследовании эффективности систем стимулирования труда: методы интервью и анкетирования в исследовании мотивации; оценки удовлетворенности, значимости и справедливости систем стимулирования; анализ в зависимости от возраста, стажа, профессии,  подразделения организации; отчет по результатам исследования и разработка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5AF00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74F65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D989A" w14:textId="77777777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42DA6" w14:textId="77777777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882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40B48" w14:textId="77777777" w:rsidR="004475DA" w:rsidRPr="002804B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Тема 6. Разработка «Положения о системе мотивации персонала».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1C5B1" w14:textId="77777777" w:rsidR="004475DA" w:rsidRPr="002804B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804B9">
              <w:rPr>
                <w:sz w:val="22"/>
                <w:szCs w:val="22"/>
                <w:lang w:bidi="ru-RU"/>
              </w:rPr>
              <w:t>Нормативные акты, регулирующие отношения в области оплаты труда. Структура «Положения о системе мотивации персонала»: общая часть, система оплаты труда, система распределения социальных выплат и компенсационного пакета. Система переменных выплат или оплата по результатам. Гарантии, установленные законодательством в области оплаты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9C66E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E4D78" w14:textId="77777777" w:rsidR="004475DA" w:rsidRPr="002804B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EB076" w14:textId="77777777" w:rsidR="004475DA" w:rsidRPr="002804B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47DBB" w14:textId="77777777" w:rsidR="004475DA" w:rsidRPr="002804B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804B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04B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804B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04B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804B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804B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804B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04B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804B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804B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804B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804B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804B9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2804B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804B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04B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804B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04B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804B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04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804B9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2804B9">
              <w:rPr>
                <w:rFonts w:ascii="Times New Roman" w:hAnsi="Times New Roman" w:cs="Times New Roman"/>
              </w:rPr>
              <w:t>, Т. О.  Мотивация и стимулирование трудовой деятельности</w:t>
            </w:r>
            <w:proofErr w:type="gramStart"/>
            <w:r w:rsidRPr="002804B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04B9">
              <w:rPr>
                <w:rFonts w:ascii="Times New Roman" w:hAnsi="Times New Roman" w:cs="Times New Roman"/>
              </w:rPr>
              <w:t xml:space="preserve"> учебник и практикум для вузов / Т. О. </w:t>
            </w:r>
            <w:proofErr w:type="spellStart"/>
            <w:r w:rsidRPr="002804B9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2804B9">
              <w:rPr>
                <w:rFonts w:ascii="Times New Roman" w:hAnsi="Times New Roman" w:cs="Times New Roman"/>
              </w:rPr>
              <w:t xml:space="preserve">, В. Г. </w:t>
            </w:r>
            <w:proofErr w:type="spellStart"/>
            <w:r w:rsidRPr="002804B9">
              <w:rPr>
                <w:rFonts w:ascii="Times New Roman" w:hAnsi="Times New Roman" w:cs="Times New Roman"/>
              </w:rPr>
              <w:t>Соломанидин</w:t>
            </w:r>
            <w:proofErr w:type="spellEnd"/>
            <w:r w:rsidRPr="002804B9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2804B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804B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804B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804B9">
              <w:rPr>
                <w:rFonts w:ascii="Times New Roman" w:hAnsi="Times New Roman" w:cs="Times New Roman"/>
              </w:rPr>
              <w:t>, 2025. — 323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804B9" w:rsidRDefault="00077D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804B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https://urait.ru/bcode/560300 </w:t>
              </w:r>
            </w:hyperlink>
          </w:p>
        </w:tc>
      </w:tr>
      <w:tr w:rsidR="00262CF0" w:rsidRPr="002804B9" w14:paraId="67B40B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DAAAA" w14:textId="77777777" w:rsidR="00262CF0" w:rsidRPr="002804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04B9">
              <w:rPr>
                <w:rFonts w:ascii="Times New Roman" w:hAnsi="Times New Roman" w:cs="Times New Roman"/>
              </w:rPr>
              <w:t>Мотивация и стимулирование трудовой деятельности</w:t>
            </w:r>
            <w:proofErr w:type="gramStart"/>
            <w:r w:rsidRPr="002804B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04B9">
              <w:rPr>
                <w:rFonts w:ascii="Times New Roman" w:hAnsi="Times New Roman" w:cs="Times New Roman"/>
              </w:rPr>
              <w:t xml:space="preserve"> учебник и практикум для вузов / Е. А. Родионова, В. И. </w:t>
            </w:r>
            <w:proofErr w:type="spellStart"/>
            <w:r w:rsidRPr="002804B9">
              <w:rPr>
                <w:rFonts w:ascii="Times New Roman" w:hAnsi="Times New Roman" w:cs="Times New Roman"/>
              </w:rPr>
              <w:t>Доминяк</w:t>
            </w:r>
            <w:proofErr w:type="spellEnd"/>
            <w:r w:rsidRPr="002804B9">
              <w:rPr>
                <w:rFonts w:ascii="Times New Roman" w:hAnsi="Times New Roman" w:cs="Times New Roman"/>
              </w:rPr>
              <w:t xml:space="preserve">, Г. </w:t>
            </w:r>
            <w:proofErr w:type="spellStart"/>
            <w:r w:rsidRPr="002804B9">
              <w:rPr>
                <w:rFonts w:ascii="Times New Roman" w:hAnsi="Times New Roman" w:cs="Times New Roman"/>
              </w:rPr>
              <w:t>Жушман</w:t>
            </w:r>
            <w:proofErr w:type="spellEnd"/>
            <w:r w:rsidRPr="002804B9">
              <w:rPr>
                <w:rFonts w:ascii="Times New Roman" w:hAnsi="Times New Roman" w:cs="Times New Roman"/>
              </w:rPr>
              <w:t>, М. А. Экземпляров ; под редакцией Е. А. Родионовой. — Москва</w:t>
            </w:r>
            <w:proofErr w:type="gramStart"/>
            <w:r w:rsidRPr="002804B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804B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804B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804B9">
              <w:rPr>
                <w:rFonts w:ascii="Times New Roman" w:hAnsi="Times New Roman" w:cs="Times New Roman"/>
              </w:rPr>
              <w:t>, 2025.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8FCB8" w14:textId="77777777" w:rsidR="00262CF0" w:rsidRPr="002804B9" w:rsidRDefault="00077D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804B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https://urait.ru/bcode/560747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3D2C44" w14:textId="77777777" w:rsidTr="007B550D">
        <w:tc>
          <w:tcPr>
            <w:tcW w:w="9345" w:type="dxa"/>
          </w:tcPr>
          <w:p w14:paraId="011E23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E09652" w14:textId="77777777" w:rsidTr="007B550D">
        <w:tc>
          <w:tcPr>
            <w:tcW w:w="9345" w:type="dxa"/>
          </w:tcPr>
          <w:p w14:paraId="51D831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07048A" w14:textId="77777777" w:rsidTr="007B550D">
        <w:tc>
          <w:tcPr>
            <w:tcW w:w="9345" w:type="dxa"/>
          </w:tcPr>
          <w:p w14:paraId="5BF3C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E8F0BE" w14:textId="77777777" w:rsidTr="007B550D">
        <w:tc>
          <w:tcPr>
            <w:tcW w:w="9345" w:type="dxa"/>
          </w:tcPr>
          <w:p w14:paraId="2F45FC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7D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2804B9" w14:paraId="53424330" w14:textId="77777777" w:rsidTr="002804B9">
        <w:tc>
          <w:tcPr>
            <w:tcW w:w="7230" w:type="dxa"/>
            <w:shd w:val="clear" w:color="auto" w:fill="auto"/>
          </w:tcPr>
          <w:p w14:paraId="2986F8BC" w14:textId="77777777" w:rsidR="002C735C" w:rsidRPr="002804B9" w:rsidRDefault="002C735C" w:rsidP="002804B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804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04B9" w:rsidRDefault="002C735C" w:rsidP="002804B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804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04B9" w14:paraId="3B643305" w14:textId="77777777" w:rsidTr="002804B9">
        <w:tc>
          <w:tcPr>
            <w:tcW w:w="7230" w:type="dxa"/>
            <w:shd w:val="clear" w:color="auto" w:fill="auto"/>
          </w:tcPr>
          <w:p w14:paraId="30187323" w14:textId="0B40F10E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04B9"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</w:rPr>
              <w:t xml:space="preserve">Специализированная мебель и оборудование: </w:t>
            </w:r>
            <w:proofErr w:type="gramStart"/>
            <w:r w:rsidRPr="002804B9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2804B9"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</w:rPr>
              <w:t>трибуна 1 шт., доска меловая 1 шт., тумба м/м</w:t>
            </w:r>
            <w:r w:rsidR="002804B9"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</w:rPr>
              <w:t xml:space="preserve">Моноблок </w:t>
            </w:r>
            <w:r w:rsidRPr="002804B9">
              <w:rPr>
                <w:sz w:val="22"/>
                <w:szCs w:val="22"/>
                <w:lang w:val="en-US"/>
              </w:rPr>
              <w:t>Acer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Aspire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Z</w:t>
            </w:r>
            <w:r w:rsidRPr="002804B9">
              <w:rPr>
                <w:sz w:val="22"/>
                <w:szCs w:val="22"/>
              </w:rPr>
              <w:t xml:space="preserve">1811 в </w:t>
            </w:r>
            <w:proofErr w:type="spellStart"/>
            <w:r w:rsidRPr="002804B9">
              <w:rPr>
                <w:sz w:val="22"/>
                <w:szCs w:val="22"/>
              </w:rPr>
              <w:t>компл</w:t>
            </w:r>
            <w:proofErr w:type="spellEnd"/>
            <w:r w:rsidRPr="002804B9">
              <w:rPr>
                <w:sz w:val="22"/>
                <w:szCs w:val="22"/>
              </w:rPr>
              <w:t xml:space="preserve">.: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4B9">
              <w:rPr>
                <w:sz w:val="22"/>
                <w:szCs w:val="22"/>
              </w:rPr>
              <w:t>5 2400</w:t>
            </w:r>
            <w:r w:rsidRPr="002804B9">
              <w:rPr>
                <w:sz w:val="22"/>
                <w:szCs w:val="22"/>
                <w:lang w:val="en-US"/>
              </w:rPr>
              <w:t>s</w:t>
            </w:r>
            <w:r w:rsidRPr="002804B9">
              <w:rPr>
                <w:sz w:val="22"/>
                <w:szCs w:val="22"/>
              </w:rPr>
              <w:t>/4</w:t>
            </w:r>
            <w:r w:rsidRPr="002804B9">
              <w:rPr>
                <w:sz w:val="22"/>
                <w:szCs w:val="22"/>
                <w:lang w:val="en-US"/>
              </w:rPr>
              <w:t>Gb</w:t>
            </w:r>
            <w:r w:rsidRPr="002804B9">
              <w:rPr>
                <w:sz w:val="22"/>
                <w:szCs w:val="22"/>
              </w:rPr>
              <w:t>/1</w:t>
            </w:r>
            <w:r w:rsidRPr="002804B9">
              <w:rPr>
                <w:sz w:val="22"/>
                <w:szCs w:val="22"/>
                <w:lang w:val="en-US"/>
              </w:rPr>
              <w:t>T</w:t>
            </w:r>
            <w:r w:rsidRPr="002804B9">
              <w:rPr>
                <w:sz w:val="22"/>
                <w:szCs w:val="22"/>
              </w:rPr>
              <w:t xml:space="preserve">б/- 1 шт., Проектор </w:t>
            </w:r>
            <w:r w:rsidRPr="002804B9">
              <w:rPr>
                <w:sz w:val="22"/>
                <w:szCs w:val="22"/>
                <w:lang w:val="en-US"/>
              </w:rPr>
              <w:t>NEC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VT</w:t>
            </w:r>
            <w:r w:rsidRPr="002804B9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2804B9">
              <w:rPr>
                <w:sz w:val="22"/>
                <w:szCs w:val="22"/>
                <w:lang w:val="en-US"/>
              </w:rPr>
              <w:t>ITC</w:t>
            </w:r>
            <w:r w:rsidRPr="002804B9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2804B9">
              <w:rPr>
                <w:sz w:val="22"/>
                <w:szCs w:val="22"/>
                <w:lang w:val="en-US"/>
              </w:rPr>
              <w:t>NEC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ME</w:t>
            </w:r>
            <w:r w:rsidRPr="002804B9">
              <w:rPr>
                <w:sz w:val="22"/>
                <w:szCs w:val="22"/>
              </w:rPr>
              <w:t>402</w:t>
            </w:r>
            <w:r w:rsidRPr="002804B9">
              <w:rPr>
                <w:sz w:val="22"/>
                <w:szCs w:val="22"/>
                <w:lang w:val="en-US"/>
              </w:rPr>
              <w:t>X</w:t>
            </w:r>
            <w:r w:rsidRPr="002804B9">
              <w:rPr>
                <w:sz w:val="22"/>
                <w:szCs w:val="22"/>
              </w:rPr>
              <w:t xml:space="preserve"> - 1</w:t>
            </w:r>
            <w:proofErr w:type="gramEnd"/>
            <w:r w:rsidRPr="002804B9">
              <w:rPr>
                <w:sz w:val="22"/>
                <w:szCs w:val="22"/>
              </w:rPr>
              <w:t xml:space="preserve"> шт., Трансляционный усилитель 120</w:t>
            </w:r>
            <w:r w:rsidRPr="002804B9">
              <w:rPr>
                <w:sz w:val="22"/>
                <w:szCs w:val="22"/>
                <w:lang w:val="en-US"/>
              </w:rPr>
              <w:t>W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TA</w:t>
            </w:r>
            <w:r w:rsidRPr="002804B9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4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4B9" w14:paraId="485ABA17" w14:textId="77777777" w:rsidTr="002804B9">
        <w:tc>
          <w:tcPr>
            <w:tcW w:w="7230" w:type="dxa"/>
            <w:shd w:val="clear" w:color="auto" w:fill="auto"/>
          </w:tcPr>
          <w:p w14:paraId="4568760D" w14:textId="4684B09D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04B9"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804B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804B9">
              <w:rPr>
                <w:sz w:val="22"/>
                <w:szCs w:val="22"/>
              </w:rPr>
              <w:t>мКомпьютер</w:t>
            </w:r>
            <w:proofErr w:type="spellEnd"/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I</w:t>
            </w:r>
            <w:r w:rsidRPr="002804B9">
              <w:rPr>
                <w:sz w:val="22"/>
                <w:szCs w:val="22"/>
              </w:rPr>
              <w:t xml:space="preserve">3-8100/ 8Гб/500Гб/ </w:t>
            </w:r>
            <w:r w:rsidRPr="002804B9">
              <w:rPr>
                <w:sz w:val="22"/>
                <w:szCs w:val="22"/>
                <w:lang w:val="en-US"/>
              </w:rPr>
              <w:t>Philips</w:t>
            </w:r>
            <w:r w:rsidRPr="002804B9">
              <w:rPr>
                <w:sz w:val="22"/>
                <w:szCs w:val="22"/>
              </w:rPr>
              <w:t>224</w:t>
            </w:r>
            <w:r w:rsidRPr="002804B9">
              <w:rPr>
                <w:sz w:val="22"/>
                <w:szCs w:val="22"/>
                <w:lang w:val="en-US"/>
              </w:rPr>
              <w:t>E</w:t>
            </w:r>
            <w:r w:rsidRPr="002804B9">
              <w:rPr>
                <w:sz w:val="22"/>
                <w:szCs w:val="22"/>
              </w:rPr>
              <w:t>5</w:t>
            </w:r>
            <w:r w:rsidRPr="002804B9">
              <w:rPr>
                <w:sz w:val="22"/>
                <w:szCs w:val="22"/>
                <w:lang w:val="en-US"/>
              </w:rPr>
              <w:t>QSB</w:t>
            </w:r>
            <w:r w:rsidRPr="002804B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4B9">
              <w:rPr>
                <w:sz w:val="22"/>
                <w:szCs w:val="22"/>
              </w:rPr>
              <w:t xml:space="preserve">5-7400 3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04B9">
              <w:rPr>
                <w:sz w:val="22"/>
                <w:szCs w:val="22"/>
              </w:rPr>
              <w:t>/8</w:t>
            </w:r>
            <w:r w:rsidRPr="002804B9">
              <w:rPr>
                <w:sz w:val="22"/>
                <w:szCs w:val="22"/>
                <w:lang w:val="en-US"/>
              </w:rPr>
              <w:t>Gb</w:t>
            </w:r>
            <w:r w:rsidRPr="002804B9">
              <w:rPr>
                <w:sz w:val="22"/>
                <w:szCs w:val="22"/>
              </w:rPr>
              <w:t>/1</w:t>
            </w:r>
            <w:r w:rsidRPr="002804B9">
              <w:rPr>
                <w:sz w:val="22"/>
                <w:szCs w:val="22"/>
                <w:lang w:val="en-US"/>
              </w:rPr>
              <w:t>Tb</w:t>
            </w:r>
            <w:r w:rsidRPr="002804B9">
              <w:rPr>
                <w:sz w:val="22"/>
                <w:szCs w:val="22"/>
              </w:rPr>
              <w:t>/</w:t>
            </w:r>
            <w:r w:rsidRPr="002804B9">
              <w:rPr>
                <w:sz w:val="22"/>
                <w:szCs w:val="22"/>
                <w:lang w:val="en-US"/>
              </w:rPr>
              <w:t>Dell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e</w:t>
            </w:r>
            <w:r w:rsidRPr="002804B9">
              <w:rPr>
                <w:sz w:val="22"/>
                <w:szCs w:val="22"/>
              </w:rPr>
              <w:t>2318</w:t>
            </w:r>
            <w:r w:rsidRPr="002804B9">
              <w:rPr>
                <w:sz w:val="22"/>
                <w:szCs w:val="22"/>
                <w:lang w:val="en-US"/>
              </w:rPr>
              <w:t>h</w:t>
            </w:r>
            <w:r w:rsidRPr="002804B9">
              <w:rPr>
                <w:sz w:val="22"/>
                <w:szCs w:val="22"/>
              </w:rPr>
              <w:t xml:space="preserve"> - 1 шт., Мультимедийный проектор 1 </w:t>
            </w:r>
            <w:r w:rsidRPr="002804B9">
              <w:rPr>
                <w:sz w:val="22"/>
                <w:szCs w:val="22"/>
                <w:lang w:val="en-US"/>
              </w:rPr>
              <w:t>NEC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ME</w:t>
            </w:r>
            <w:r w:rsidRPr="002804B9">
              <w:rPr>
                <w:sz w:val="22"/>
                <w:szCs w:val="22"/>
              </w:rPr>
              <w:t>401</w:t>
            </w:r>
            <w:r w:rsidRPr="002804B9">
              <w:rPr>
                <w:sz w:val="22"/>
                <w:szCs w:val="22"/>
                <w:lang w:val="en-US"/>
              </w:rPr>
              <w:t>X</w:t>
            </w:r>
            <w:r w:rsidRPr="002804B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804B9">
              <w:rPr>
                <w:sz w:val="22"/>
                <w:szCs w:val="22"/>
                <w:lang w:val="en-US"/>
              </w:rPr>
              <w:t>Matte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White</w:t>
            </w:r>
            <w:r w:rsidRPr="002804B9">
              <w:rPr>
                <w:sz w:val="22"/>
                <w:szCs w:val="22"/>
              </w:rPr>
              <w:t xml:space="preserve"> - 1 шт., Коммутатор </w:t>
            </w:r>
            <w:r w:rsidRPr="002804B9">
              <w:rPr>
                <w:sz w:val="22"/>
                <w:szCs w:val="22"/>
                <w:lang w:val="en-US"/>
              </w:rPr>
              <w:t>HP</w:t>
            </w:r>
            <w:r w:rsidRPr="002804B9">
              <w:rPr>
                <w:sz w:val="22"/>
                <w:szCs w:val="22"/>
              </w:rPr>
              <w:t xml:space="preserve">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Switch</w:t>
            </w:r>
            <w:r w:rsidRPr="002804B9">
              <w:rPr>
                <w:sz w:val="22"/>
                <w:szCs w:val="22"/>
              </w:rPr>
              <w:t xml:space="preserve"> 2610-24 (24 </w:t>
            </w:r>
            <w:r w:rsidRPr="002804B9">
              <w:rPr>
                <w:sz w:val="22"/>
                <w:szCs w:val="22"/>
                <w:lang w:val="en-US"/>
              </w:rPr>
              <w:t>ports</w:t>
            </w:r>
            <w:r w:rsidRPr="002804B9">
              <w:rPr>
                <w:sz w:val="22"/>
                <w:szCs w:val="22"/>
              </w:rPr>
              <w:t xml:space="preserve"> 10</w:t>
            </w:r>
            <w:proofErr w:type="gramEnd"/>
            <w:r w:rsidRPr="002804B9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85A012" w14:textId="77777777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4B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4B9" w14:paraId="121EB69B" w14:textId="77777777" w:rsidTr="002804B9">
        <w:tc>
          <w:tcPr>
            <w:tcW w:w="7230" w:type="dxa"/>
            <w:shd w:val="clear" w:color="auto" w:fill="auto"/>
          </w:tcPr>
          <w:p w14:paraId="5BA1DF3E" w14:textId="6C72FD7D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04B9"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2804B9">
              <w:rPr>
                <w:sz w:val="22"/>
                <w:szCs w:val="22"/>
              </w:rPr>
              <w:t>мМоноблок</w:t>
            </w:r>
            <w:proofErr w:type="spellEnd"/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Acer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Aspire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Z</w:t>
            </w:r>
            <w:r w:rsidRPr="002804B9">
              <w:rPr>
                <w:sz w:val="22"/>
                <w:szCs w:val="22"/>
              </w:rPr>
              <w:t xml:space="preserve">1811 в </w:t>
            </w:r>
            <w:proofErr w:type="spellStart"/>
            <w:r w:rsidRPr="002804B9">
              <w:rPr>
                <w:sz w:val="22"/>
                <w:szCs w:val="22"/>
              </w:rPr>
              <w:t>компл</w:t>
            </w:r>
            <w:proofErr w:type="spellEnd"/>
            <w:r w:rsidRPr="002804B9">
              <w:rPr>
                <w:sz w:val="22"/>
                <w:szCs w:val="22"/>
              </w:rPr>
              <w:t xml:space="preserve">.: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4B9">
              <w:rPr>
                <w:sz w:val="22"/>
                <w:szCs w:val="22"/>
              </w:rPr>
              <w:t>5 2400</w:t>
            </w:r>
            <w:r w:rsidRPr="002804B9">
              <w:rPr>
                <w:sz w:val="22"/>
                <w:szCs w:val="22"/>
                <w:lang w:val="en-US"/>
              </w:rPr>
              <w:t>s</w:t>
            </w:r>
            <w:r w:rsidRPr="002804B9">
              <w:rPr>
                <w:sz w:val="22"/>
                <w:szCs w:val="22"/>
              </w:rPr>
              <w:t>/4</w:t>
            </w:r>
            <w:r w:rsidRPr="002804B9">
              <w:rPr>
                <w:sz w:val="22"/>
                <w:szCs w:val="22"/>
                <w:lang w:val="en-US"/>
              </w:rPr>
              <w:t>Gb</w:t>
            </w:r>
            <w:r w:rsidRPr="002804B9">
              <w:rPr>
                <w:sz w:val="22"/>
                <w:szCs w:val="22"/>
              </w:rPr>
              <w:t>/1</w:t>
            </w:r>
            <w:r w:rsidRPr="002804B9">
              <w:rPr>
                <w:sz w:val="22"/>
                <w:szCs w:val="22"/>
                <w:lang w:val="en-US"/>
              </w:rPr>
              <w:t>T</w:t>
            </w:r>
            <w:r w:rsidRPr="002804B9">
              <w:rPr>
                <w:sz w:val="22"/>
                <w:szCs w:val="22"/>
              </w:rPr>
              <w:t xml:space="preserve">б - 16 шт.,  Проектор </w:t>
            </w:r>
            <w:r w:rsidRPr="002804B9">
              <w:rPr>
                <w:sz w:val="22"/>
                <w:szCs w:val="22"/>
                <w:lang w:val="en-US"/>
              </w:rPr>
              <w:t>NEC</w:t>
            </w:r>
            <w:r w:rsidRPr="002804B9">
              <w:rPr>
                <w:sz w:val="22"/>
                <w:szCs w:val="22"/>
              </w:rPr>
              <w:t xml:space="preserve"> М350 Х  - 1 шт., Ноутбук </w:t>
            </w:r>
            <w:r w:rsidRPr="002804B9">
              <w:rPr>
                <w:sz w:val="22"/>
                <w:szCs w:val="22"/>
                <w:lang w:val="en-US"/>
              </w:rPr>
              <w:t>Samsung</w:t>
            </w:r>
            <w:r w:rsidRPr="002804B9">
              <w:rPr>
                <w:sz w:val="22"/>
                <w:szCs w:val="22"/>
              </w:rPr>
              <w:t xml:space="preserve"> </w:t>
            </w:r>
            <w:r w:rsidRPr="002804B9">
              <w:rPr>
                <w:sz w:val="22"/>
                <w:szCs w:val="22"/>
                <w:lang w:val="en-US"/>
              </w:rPr>
              <w:t>NP</w:t>
            </w:r>
            <w:r w:rsidRPr="002804B9">
              <w:rPr>
                <w:sz w:val="22"/>
                <w:szCs w:val="22"/>
              </w:rPr>
              <w:t>-</w:t>
            </w:r>
            <w:r w:rsidRPr="002804B9">
              <w:rPr>
                <w:sz w:val="22"/>
                <w:szCs w:val="22"/>
                <w:lang w:val="en-US"/>
              </w:rPr>
              <w:t>R</w:t>
            </w:r>
            <w:r w:rsidRPr="002804B9">
              <w:rPr>
                <w:sz w:val="22"/>
                <w:szCs w:val="22"/>
              </w:rPr>
              <w:t>780-</w:t>
            </w:r>
            <w:r w:rsidRPr="002804B9">
              <w:rPr>
                <w:sz w:val="22"/>
                <w:szCs w:val="22"/>
                <w:lang w:val="en-US"/>
              </w:rPr>
              <w:t>JS</w:t>
            </w:r>
            <w:r w:rsidRPr="002804B9">
              <w:rPr>
                <w:sz w:val="22"/>
                <w:szCs w:val="22"/>
              </w:rPr>
              <w:t xml:space="preserve">04 </w:t>
            </w:r>
            <w:proofErr w:type="spellStart"/>
            <w:r w:rsidRPr="002804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4B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FE3406" w14:textId="77777777" w:rsidR="002C735C" w:rsidRPr="002804B9" w:rsidRDefault="00B43524" w:rsidP="002804B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804B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4B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Основные нормативные акты, регулирующие отношения в области оплаты труда.</w:t>
            </w:r>
          </w:p>
        </w:tc>
      </w:tr>
      <w:tr w:rsidR="009E6058" w14:paraId="2D3D73E0" w14:textId="77777777" w:rsidTr="00F00293">
        <w:tc>
          <w:tcPr>
            <w:tcW w:w="562" w:type="dxa"/>
          </w:tcPr>
          <w:p w14:paraId="3F500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EF7A8D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Сведения о стимулировании и оплате труда, включаемые в коллективный договор.</w:t>
            </w:r>
          </w:p>
        </w:tc>
      </w:tr>
      <w:tr w:rsidR="009E6058" w14:paraId="7B74EFD5" w14:textId="77777777" w:rsidTr="00F00293">
        <w:tc>
          <w:tcPr>
            <w:tcW w:w="562" w:type="dxa"/>
          </w:tcPr>
          <w:p w14:paraId="29932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4801AD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«Положение о системе мотивации (стимулирования) персонала» как нормативный акт.</w:t>
            </w:r>
          </w:p>
        </w:tc>
      </w:tr>
      <w:tr w:rsidR="009E6058" w14:paraId="03256178" w14:textId="77777777" w:rsidTr="00F00293">
        <w:tc>
          <w:tcPr>
            <w:tcW w:w="562" w:type="dxa"/>
          </w:tcPr>
          <w:p w14:paraId="5021C2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2045D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Процедура согласования и утверждения Положения «О системе мотивации (стимулирования) персонала».</w:t>
            </w:r>
          </w:p>
        </w:tc>
      </w:tr>
      <w:tr w:rsidR="009E6058" w14:paraId="0ADCDF4B" w14:textId="77777777" w:rsidTr="00F00293">
        <w:tc>
          <w:tcPr>
            <w:tcW w:w="562" w:type="dxa"/>
          </w:tcPr>
          <w:p w14:paraId="4C18E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CF0417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Структура Положения «О системе мотивации персонала».</w:t>
            </w:r>
          </w:p>
        </w:tc>
      </w:tr>
      <w:tr w:rsidR="009E6058" w14:paraId="791CE481" w14:textId="77777777" w:rsidTr="00F00293">
        <w:tc>
          <w:tcPr>
            <w:tcW w:w="562" w:type="dxa"/>
          </w:tcPr>
          <w:p w14:paraId="566EFA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85C67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Изложение целей политики в области оплаты труда в Положении «О системе мотивации персонала».</w:t>
            </w:r>
          </w:p>
        </w:tc>
      </w:tr>
      <w:tr w:rsidR="009E6058" w14:paraId="4F3DBCCD" w14:textId="77777777" w:rsidTr="00F00293">
        <w:tc>
          <w:tcPr>
            <w:tcW w:w="562" w:type="dxa"/>
          </w:tcPr>
          <w:p w14:paraId="64771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E5A026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Структура раздела «Система оплаты труда» в Положении «О системе мотивации труда персонала».</w:t>
            </w:r>
          </w:p>
        </w:tc>
      </w:tr>
      <w:tr w:rsidR="009E6058" w14:paraId="38BD3C42" w14:textId="77777777" w:rsidTr="00F00293">
        <w:tc>
          <w:tcPr>
            <w:tcW w:w="562" w:type="dxa"/>
          </w:tcPr>
          <w:p w14:paraId="0E80E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10DB64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Основные правила выбора системы премирования персонала, включаемые в Положение «О системе мотивации (стимулирования) персонала».</w:t>
            </w:r>
          </w:p>
        </w:tc>
      </w:tr>
      <w:tr w:rsidR="009E6058" w14:paraId="4A0A3707" w14:textId="77777777" w:rsidTr="00F00293">
        <w:tc>
          <w:tcPr>
            <w:tcW w:w="562" w:type="dxa"/>
          </w:tcPr>
          <w:p w14:paraId="4EBD7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20F956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Раздел «Система распределения социальных выплат» в Положении «О системе мотивации (стимулирования) персонала».</w:t>
            </w:r>
          </w:p>
        </w:tc>
      </w:tr>
      <w:tr w:rsidR="009E6058" w14:paraId="5C7C4B64" w14:textId="77777777" w:rsidTr="00F00293">
        <w:tc>
          <w:tcPr>
            <w:tcW w:w="562" w:type="dxa"/>
          </w:tcPr>
          <w:p w14:paraId="04EDD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A1AD26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Показатели оценки системы стимулирования персонала.</w:t>
            </w:r>
          </w:p>
        </w:tc>
      </w:tr>
      <w:tr w:rsidR="009E6058" w14:paraId="2BC5867E" w14:textId="77777777" w:rsidTr="00F00293">
        <w:tc>
          <w:tcPr>
            <w:tcW w:w="562" w:type="dxa"/>
          </w:tcPr>
          <w:p w14:paraId="27652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36FE45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Условия применения стимулов при разработке систем премирования.</w:t>
            </w:r>
          </w:p>
        </w:tc>
      </w:tr>
      <w:tr w:rsidR="009E6058" w14:paraId="736D6232" w14:textId="77777777" w:rsidTr="00F00293">
        <w:tc>
          <w:tcPr>
            <w:tcW w:w="562" w:type="dxa"/>
          </w:tcPr>
          <w:p w14:paraId="53C55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F91A28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Соответствие условий применения стимулов задачам предприятия.</w:t>
            </w:r>
          </w:p>
        </w:tc>
      </w:tr>
      <w:tr w:rsidR="009E6058" w14:paraId="528287EF" w14:textId="77777777" w:rsidTr="00F00293">
        <w:tc>
          <w:tcPr>
            <w:tcW w:w="562" w:type="dxa"/>
          </w:tcPr>
          <w:p w14:paraId="465D0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E49DB1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Цели и задачи применения стратегии «персонал-затраты».</w:t>
            </w:r>
          </w:p>
        </w:tc>
      </w:tr>
      <w:tr w:rsidR="009E6058" w14:paraId="559B0092" w14:textId="77777777" w:rsidTr="00F00293">
        <w:tc>
          <w:tcPr>
            <w:tcW w:w="562" w:type="dxa"/>
          </w:tcPr>
          <w:p w14:paraId="74A5C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C66EF2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Цели и задачи применения стратегии «персонал-ресурсы».</w:t>
            </w:r>
          </w:p>
        </w:tc>
      </w:tr>
      <w:tr w:rsidR="009E6058" w14:paraId="31663276" w14:textId="77777777" w:rsidTr="00F00293">
        <w:tc>
          <w:tcPr>
            <w:tcW w:w="562" w:type="dxa"/>
          </w:tcPr>
          <w:p w14:paraId="3671C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C1A866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Несовпадение интересов наёмного работника и предприятия.</w:t>
            </w:r>
          </w:p>
        </w:tc>
      </w:tr>
      <w:tr w:rsidR="009E6058" w14:paraId="02899E8E" w14:textId="77777777" w:rsidTr="00F00293">
        <w:tc>
          <w:tcPr>
            <w:tcW w:w="562" w:type="dxa"/>
          </w:tcPr>
          <w:p w14:paraId="38AAB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5A12A3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Оценки удовлетворения потребностей работника как показатель эффективности системы стимулирования.</w:t>
            </w:r>
          </w:p>
        </w:tc>
      </w:tr>
      <w:tr w:rsidR="009E6058" w14:paraId="55D02F36" w14:textId="77777777" w:rsidTr="00F00293">
        <w:tc>
          <w:tcPr>
            <w:tcW w:w="562" w:type="dxa"/>
          </w:tcPr>
          <w:p w14:paraId="74946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703C8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Ценностное отношение к труду и его роль в формировании экономического поведения различных категорий персонала.</w:t>
            </w:r>
          </w:p>
        </w:tc>
      </w:tr>
      <w:tr w:rsidR="009E6058" w14:paraId="7F9282A5" w14:textId="77777777" w:rsidTr="00F00293">
        <w:tc>
          <w:tcPr>
            <w:tcW w:w="562" w:type="dxa"/>
          </w:tcPr>
          <w:p w14:paraId="2EB00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347C54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Шкала измерения удовлетворённости оплатой труда.</w:t>
            </w:r>
          </w:p>
        </w:tc>
      </w:tr>
      <w:tr w:rsidR="009E6058" w14:paraId="1D41D227" w14:textId="77777777" w:rsidTr="00F00293">
        <w:tc>
          <w:tcPr>
            <w:tcW w:w="562" w:type="dxa"/>
          </w:tcPr>
          <w:p w14:paraId="32AAF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3A71E49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Факторы, вызывающие наиболее высокую неудовлетворённость.</w:t>
            </w:r>
          </w:p>
        </w:tc>
      </w:tr>
      <w:tr w:rsidR="009E6058" w14:paraId="3582D8D9" w14:textId="77777777" w:rsidTr="00F00293">
        <w:tc>
          <w:tcPr>
            <w:tcW w:w="562" w:type="dxa"/>
          </w:tcPr>
          <w:p w14:paraId="0127F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4C7DCB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Преимущества социотехнического подхода в управлении персоналом.</w:t>
            </w:r>
          </w:p>
        </w:tc>
      </w:tr>
      <w:tr w:rsidR="009E6058" w14:paraId="7084A3F1" w14:textId="77777777" w:rsidTr="00F00293">
        <w:tc>
          <w:tcPr>
            <w:tcW w:w="562" w:type="dxa"/>
          </w:tcPr>
          <w:p w14:paraId="77C5C4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1D34E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Расчёт индекса справедливости при использовании 5-балльной шкалы измерения.</w:t>
            </w:r>
          </w:p>
        </w:tc>
      </w:tr>
      <w:tr w:rsidR="009E6058" w14:paraId="3D491845" w14:textId="77777777" w:rsidTr="00F00293">
        <w:tc>
          <w:tcPr>
            <w:tcW w:w="562" w:type="dxa"/>
          </w:tcPr>
          <w:p w14:paraId="2B923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326B3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Основания классификации теорий потребностей и мотивов. Плюралистические и монистические концепции мотивации.</w:t>
            </w:r>
          </w:p>
        </w:tc>
      </w:tr>
      <w:tr w:rsidR="009E6058" w14:paraId="4D0D5CFD" w14:textId="77777777" w:rsidTr="00F00293">
        <w:tc>
          <w:tcPr>
            <w:tcW w:w="562" w:type="dxa"/>
          </w:tcPr>
          <w:p w14:paraId="3834D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C44163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Оценка стимулов в методиках исследования.</w:t>
            </w:r>
          </w:p>
        </w:tc>
      </w:tr>
      <w:tr w:rsidR="009E6058" w14:paraId="799E576B" w14:textId="77777777" w:rsidTr="00F00293">
        <w:tc>
          <w:tcPr>
            <w:tcW w:w="562" w:type="dxa"/>
          </w:tcPr>
          <w:p w14:paraId="14B53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154901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 xml:space="preserve">Мотивация на основе удовлетворения потребностей: А. </w:t>
            </w:r>
            <w:proofErr w:type="spellStart"/>
            <w:r w:rsidRPr="002804B9">
              <w:rPr>
                <w:sz w:val="23"/>
                <w:szCs w:val="23"/>
              </w:rPr>
              <w:t>Маслоу</w:t>
            </w:r>
            <w:proofErr w:type="spellEnd"/>
            <w:r w:rsidRPr="002804B9">
              <w:rPr>
                <w:sz w:val="23"/>
                <w:szCs w:val="23"/>
              </w:rPr>
              <w:t xml:space="preserve">, К. </w:t>
            </w:r>
            <w:proofErr w:type="spellStart"/>
            <w:r w:rsidRPr="002804B9">
              <w:rPr>
                <w:sz w:val="23"/>
                <w:szCs w:val="23"/>
              </w:rPr>
              <w:t>Альдельфер</w:t>
            </w:r>
            <w:proofErr w:type="spellEnd"/>
            <w:r w:rsidRPr="002804B9">
              <w:rPr>
                <w:sz w:val="23"/>
                <w:szCs w:val="23"/>
              </w:rPr>
              <w:t xml:space="preserve"> и Ф. </w:t>
            </w:r>
            <w:proofErr w:type="spellStart"/>
            <w:r w:rsidRPr="002804B9">
              <w:rPr>
                <w:sz w:val="23"/>
                <w:szCs w:val="23"/>
              </w:rPr>
              <w:t>Герцберг</w:t>
            </w:r>
            <w:proofErr w:type="spellEnd"/>
            <w:r w:rsidRPr="002804B9">
              <w:rPr>
                <w:sz w:val="23"/>
                <w:szCs w:val="23"/>
              </w:rPr>
              <w:t>.</w:t>
            </w:r>
          </w:p>
        </w:tc>
      </w:tr>
      <w:tr w:rsidR="009E6058" w14:paraId="6911E998" w14:textId="77777777" w:rsidTr="00F00293">
        <w:tc>
          <w:tcPr>
            <w:tcW w:w="562" w:type="dxa"/>
          </w:tcPr>
          <w:p w14:paraId="4A8C9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5FCB96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С. Адамс и теория справедливости. Мотивация, построенная на «чувстве справедливости».</w:t>
            </w:r>
          </w:p>
        </w:tc>
      </w:tr>
      <w:tr w:rsidR="009E6058" w14:paraId="40A68352" w14:textId="77777777" w:rsidTr="00F00293">
        <w:tc>
          <w:tcPr>
            <w:tcW w:w="562" w:type="dxa"/>
          </w:tcPr>
          <w:p w14:paraId="6F3B5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821683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Структура Положения «О системе мотивации персонала»: общая часть, система оплаты труда, система распределения социальных выплат или компенсационного пакета.</w:t>
            </w:r>
          </w:p>
        </w:tc>
      </w:tr>
      <w:tr w:rsidR="009E6058" w14:paraId="194EE584" w14:textId="77777777" w:rsidTr="00F00293">
        <w:tc>
          <w:tcPr>
            <w:tcW w:w="562" w:type="dxa"/>
          </w:tcPr>
          <w:p w14:paraId="4F08B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90B3D0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 xml:space="preserve">В. </w:t>
            </w:r>
            <w:proofErr w:type="spellStart"/>
            <w:r w:rsidRPr="002804B9">
              <w:rPr>
                <w:sz w:val="23"/>
                <w:szCs w:val="23"/>
              </w:rPr>
              <w:t>Врум</w:t>
            </w:r>
            <w:proofErr w:type="spellEnd"/>
            <w:r w:rsidRPr="002804B9">
              <w:rPr>
                <w:sz w:val="23"/>
                <w:szCs w:val="23"/>
              </w:rPr>
              <w:t xml:space="preserve"> и теория ожиданий. Роль ожиданий в практике работы с персоналом.</w:t>
            </w:r>
          </w:p>
        </w:tc>
      </w:tr>
      <w:tr w:rsidR="009E6058" w14:paraId="73975860" w14:textId="77777777" w:rsidTr="00F00293">
        <w:tc>
          <w:tcPr>
            <w:tcW w:w="562" w:type="dxa"/>
          </w:tcPr>
          <w:p w14:paraId="02C7C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425A77E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Основные цели политики в области оплаты труд.</w:t>
            </w:r>
          </w:p>
        </w:tc>
      </w:tr>
      <w:tr w:rsidR="009E6058" w14:paraId="1B843A73" w14:textId="77777777" w:rsidTr="00F00293">
        <w:tc>
          <w:tcPr>
            <w:tcW w:w="562" w:type="dxa"/>
          </w:tcPr>
          <w:p w14:paraId="10265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C8E84A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Оценка влияния стратегий «персонал-затраты» и «персонал-ресурс» на систему управления персоналом.</w:t>
            </w:r>
          </w:p>
        </w:tc>
      </w:tr>
      <w:tr w:rsidR="009E6058" w14:paraId="646913E0" w14:textId="77777777" w:rsidTr="00F00293">
        <w:tc>
          <w:tcPr>
            <w:tcW w:w="562" w:type="dxa"/>
          </w:tcPr>
          <w:p w14:paraId="3AC2F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E02E9C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Анализ трудовых показателей в рамках конкретной организации.</w:t>
            </w:r>
          </w:p>
        </w:tc>
      </w:tr>
      <w:tr w:rsidR="009E6058" w14:paraId="3CCD25DD" w14:textId="77777777" w:rsidTr="00F00293">
        <w:tc>
          <w:tcPr>
            <w:tcW w:w="562" w:type="dxa"/>
          </w:tcPr>
          <w:p w14:paraId="2E2C6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5A571F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 xml:space="preserve">Определение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2804B9">
              <w:rPr>
                <w:sz w:val="23"/>
                <w:szCs w:val="23"/>
              </w:rPr>
              <w:t>— ключевых показателей эффективности для достижения целей.</w:t>
            </w:r>
          </w:p>
        </w:tc>
      </w:tr>
      <w:tr w:rsidR="009E6058" w14:paraId="03CE3DF2" w14:textId="77777777" w:rsidTr="00F00293">
        <w:tc>
          <w:tcPr>
            <w:tcW w:w="562" w:type="dxa"/>
          </w:tcPr>
          <w:p w14:paraId="25327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BB82E20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804B9">
              <w:rPr>
                <w:sz w:val="23"/>
                <w:szCs w:val="23"/>
              </w:rPr>
              <w:t>Целерациональный</w:t>
            </w:r>
            <w:proofErr w:type="spellEnd"/>
            <w:r w:rsidRPr="002804B9">
              <w:rPr>
                <w:sz w:val="23"/>
                <w:szCs w:val="23"/>
              </w:rPr>
              <w:t xml:space="preserve"> и социокультурный контекст применения стратегий мотивации.</w:t>
            </w:r>
          </w:p>
        </w:tc>
      </w:tr>
      <w:tr w:rsidR="009E6058" w14:paraId="044B8D0A" w14:textId="77777777" w:rsidTr="00F00293">
        <w:tc>
          <w:tcPr>
            <w:tcW w:w="562" w:type="dxa"/>
          </w:tcPr>
          <w:p w14:paraId="1A2B2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4CB3F64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 xml:space="preserve">Компенсационные программы. Распределение льгот по </w:t>
            </w:r>
            <w:proofErr w:type="spellStart"/>
            <w:r w:rsidRPr="002804B9">
              <w:rPr>
                <w:sz w:val="23"/>
                <w:szCs w:val="23"/>
              </w:rPr>
              <w:t>грейдам</w:t>
            </w:r>
            <w:proofErr w:type="spellEnd"/>
            <w:r w:rsidRPr="002804B9">
              <w:rPr>
                <w:sz w:val="23"/>
                <w:szCs w:val="23"/>
              </w:rPr>
              <w:t>.</w:t>
            </w:r>
          </w:p>
        </w:tc>
      </w:tr>
      <w:tr w:rsidR="009E6058" w14:paraId="202DEA03" w14:textId="77777777" w:rsidTr="00F00293">
        <w:tc>
          <w:tcPr>
            <w:tcW w:w="562" w:type="dxa"/>
          </w:tcPr>
          <w:p w14:paraId="616E6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110D08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Выбор между экономической эффективностью и совершенствованием социально-трудовых отношений.</w:t>
            </w:r>
          </w:p>
        </w:tc>
      </w:tr>
      <w:tr w:rsidR="009E6058" w14:paraId="6643F278" w14:textId="77777777" w:rsidTr="00F00293">
        <w:tc>
          <w:tcPr>
            <w:tcW w:w="562" w:type="dxa"/>
          </w:tcPr>
          <w:p w14:paraId="1C7743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6405EC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Стимулирование организацией работ. Модель характеристик рабочих заданий (</w:t>
            </w:r>
            <w:r>
              <w:rPr>
                <w:sz w:val="23"/>
                <w:szCs w:val="23"/>
                <w:lang w:val="en-US"/>
              </w:rPr>
              <w:t>JCM</w:t>
            </w:r>
            <w:r w:rsidRPr="002804B9">
              <w:rPr>
                <w:sz w:val="23"/>
                <w:szCs w:val="23"/>
              </w:rPr>
              <w:t>).</w:t>
            </w:r>
          </w:p>
        </w:tc>
      </w:tr>
      <w:tr w:rsidR="009E6058" w14:paraId="246CD2A8" w14:textId="77777777" w:rsidTr="00F00293">
        <w:tc>
          <w:tcPr>
            <w:tcW w:w="562" w:type="dxa"/>
          </w:tcPr>
          <w:p w14:paraId="57B9C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1CC98D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Коэффициент мотивирующего потенциала рабочего задания.</w:t>
            </w:r>
          </w:p>
        </w:tc>
      </w:tr>
      <w:tr w:rsidR="009E6058" w14:paraId="32E4E11D" w14:textId="77777777" w:rsidTr="00F00293">
        <w:tc>
          <w:tcPr>
            <w:tcW w:w="562" w:type="dxa"/>
          </w:tcPr>
          <w:p w14:paraId="7DDA4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9B6BFB2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Разработка системы стимулирования как процесс согласования потребностей и интересов работника с целями и задачами организации.</w:t>
            </w:r>
          </w:p>
        </w:tc>
      </w:tr>
      <w:tr w:rsidR="009E6058" w14:paraId="3B027C69" w14:textId="77777777" w:rsidTr="00F00293">
        <w:tc>
          <w:tcPr>
            <w:tcW w:w="562" w:type="dxa"/>
          </w:tcPr>
          <w:p w14:paraId="119CD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964CC68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Стимулирование рабочим временем. Проблемы использования.</w:t>
            </w:r>
          </w:p>
        </w:tc>
      </w:tr>
      <w:tr w:rsidR="009E6058" w14:paraId="64D7948B" w14:textId="77777777" w:rsidTr="00F00293">
        <w:tc>
          <w:tcPr>
            <w:tcW w:w="562" w:type="dxa"/>
          </w:tcPr>
          <w:p w14:paraId="696B9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B397E8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Гибкий график. Достоинства и недостатки.</w:t>
            </w:r>
          </w:p>
        </w:tc>
      </w:tr>
      <w:tr w:rsidR="009E6058" w14:paraId="24AA7B6C" w14:textId="77777777" w:rsidTr="00F00293">
        <w:tc>
          <w:tcPr>
            <w:tcW w:w="562" w:type="dxa"/>
          </w:tcPr>
          <w:p w14:paraId="3D6A7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3AED32" w14:textId="77777777" w:rsidR="009E6058" w:rsidRPr="002804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Дистанционная работа. Достоинства и недостатки.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04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4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04B9" w14:paraId="5A1C9382" w14:textId="77777777" w:rsidTr="00801458">
        <w:tc>
          <w:tcPr>
            <w:tcW w:w="2336" w:type="dxa"/>
          </w:tcPr>
          <w:p w14:paraId="4C518DAB" w14:textId="77777777" w:rsidR="005D65A5" w:rsidRPr="002804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04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04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04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04B9" w14:paraId="07658034" w14:textId="77777777" w:rsidTr="00801458">
        <w:tc>
          <w:tcPr>
            <w:tcW w:w="2336" w:type="dxa"/>
          </w:tcPr>
          <w:p w14:paraId="1553D698" w14:textId="78F29BFB" w:rsidR="005D65A5" w:rsidRPr="002804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04B9" w14:paraId="5957A2ED" w14:textId="77777777" w:rsidTr="00801458">
        <w:tc>
          <w:tcPr>
            <w:tcW w:w="2336" w:type="dxa"/>
          </w:tcPr>
          <w:p w14:paraId="3B4D930F" w14:textId="77777777" w:rsidR="005D65A5" w:rsidRPr="002804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0F8276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00CC4CE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E6E7CD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804B9" w14:paraId="4EE9C278" w14:textId="77777777" w:rsidTr="00801458">
        <w:tc>
          <w:tcPr>
            <w:tcW w:w="2336" w:type="dxa"/>
          </w:tcPr>
          <w:p w14:paraId="121236E4" w14:textId="77777777" w:rsidR="005D65A5" w:rsidRPr="002804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D085AB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A4DDD7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DF7074" w14:textId="77777777" w:rsidR="005D65A5" w:rsidRPr="002804B9" w:rsidRDefault="007478E0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E0E7A5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4B9" w14:paraId="2C40B7D1" w14:textId="77777777" w:rsidTr="002804B9">
        <w:tc>
          <w:tcPr>
            <w:tcW w:w="562" w:type="dxa"/>
          </w:tcPr>
          <w:p w14:paraId="6DEAF643" w14:textId="77777777" w:rsidR="002804B9" w:rsidRDefault="002804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F662FF" w14:textId="77777777" w:rsidR="002804B9" w:rsidRDefault="002804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04B9" w14:paraId="0267C479" w14:textId="77777777" w:rsidTr="00801458">
        <w:tc>
          <w:tcPr>
            <w:tcW w:w="2500" w:type="pct"/>
          </w:tcPr>
          <w:p w14:paraId="37F699C9" w14:textId="77777777" w:rsidR="00B8237E" w:rsidRPr="002804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04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4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04B9" w14:paraId="3F240151" w14:textId="77777777" w:rsidTr="00801458">
        <w:tc>
          <w:tcPr>
            <w:tcW w:w="2500" w:type="pct"/>
          </w:tcPr>
          <w:p w14:paraId="61E91592" w14:textId="61A0874C" w:rsidR="00B8237E" w:rsidRPr="002804B9" w:rsidRDefault="00B8237E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4B9" w14:paraId="41D65F3F" w14:textId="77777777" w:rsidTr="00801458">
        <w:tc>
          <w:tcPr>
            <w:tcW w:w="2500" w:type="pct"/>
          </w:tcPr>
          <w:p w14:paraId="78D65580" w14:textId="77777777" w:rsidR="00B8237E" w:rsidRPr="002804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19AFC85" w14:textId="7777777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4B9" w14:paraId="36327E64" w14:textId="77777777" w:rsidTr="00801458">
        <w:tc>
          <w:tcPr>
            <w:tcW w:w="2500" w:type="pct"/>
          </w:tcPr>
          <w:p w14:paraId="5810C110" w14:textId="77777777" w:rsidR="00B8237E" w:rsidRPr="002804B9" w:rsidRDefault="00B8237E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5CB601A" w14:textId="7777777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2804B9" w14:paraId="7EE8D702" w14:textId="77777777" w:rsidTr="00801458">
        <w:tc>
          <w:tcPr>
            <w:tcW w:w="2500" w:type="pct"/>
          </w:tcPr>
          <w:p w14:paraId="4A279DF7" w14:textId="77777777" w:rsidR="00B8237E" w:rsidRPr="002804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CE3EC30" w14:textId="7777777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2804B9" w14:paraId="62D0AC54" w14:textId="77777777" w:rsidTr="00801458">
        <w:tc>
          <w:tcPr>
            <w:tcW w:w="2500" w:type="pct"/>
          </w:tcPr>
          <w:p w14:paraId="458D6562" w14:textId="77777777" w:rsidR="00B8237E" w:rsidRPr="002804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C772B9A" w14:textId="7777777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4B9" w14:paraId="1467E90B" w14:textId="77777777" w:rsidTr="00801458">
        <w:tc>
          <w:tcPr>
            <w:tcW w:w="2500" w:type="pct"/>
          </w:tcPr>
          <w:p w14:paraId="7A6FF63E" w14:textId="77777777" w:rsidR="00B8237E" w:rsidRPr="002804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469FA9" w14:textId="77777777" w:rsidR="00B8237E" w:rsidRPr="002804B9" w:rsidRDefault="005C548A" w:rsidP="00801458">
            <w:pPr>
              <w:rPr>
                <w:rFonts w:ascii="Times New Roman" w:hAnsi="Times New Roman" w:cs="Times New Roman"/>
              </w:rPr>
            </w:pPr>
            <w:r w:rsidRPr="002804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80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42A91" w14:textId="77777777" w:rsidR="00077D7C" w:rsidRDefault="00077D7C" w:rsidP="00315CA6">
      <w:pPr>
        <w:spacing w:after="0" w:line="240" w:lineRule="auto"/>
      </w:pPr>
      <w:r>
        <w:separator/>
      </w:r>
    </w:p>
  </w:endnote>
  <w:endnote w:type="continuationSeparator" w:id="0">
    <w:p w14:paraId="7166F866" w14:textId="77777777" w:rsidR="00077D7C" w:rsidRDefault="00077D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C781C2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9A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C97B4" w14:textId="77777777" w:rsidR="00077D7C" w:rsidRDefault="00077D7C" w:rsidP="00315CA6">
      <w:pPr>
        <w:spacing w:after="0" w:line="240" w:lineRule="auto"/>
      </w:pPr>
      <w:r>
        <w:separator/>
      </w:r>
    </w:p>
  </w:footnote>
  <w:footnote w:type="continuationSeparator" w:id="0">
    <w:p w14:paraId="40FD1505" w14:textId="77777777" w:rsidR="00077D7C" w:rsidRDefault="00077D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D7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4B9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9A2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3C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74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0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B8213-F980-421C-AE21-504233652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